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vorgesehenen Leistungen umfassen die Sanierung von Schachtabdeckungen innerhalb von Verkehrsflächen im gesamten Stadtgebiet Münster.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